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A99" w:rsidRDefault="00401F48">
      <w:pPr>
        <w:kinsoku w:val="0"/>
        <w:overflowPunct w:val="0"/>
        <w:autoSpaceDE/>
        <w:autoSpaceDN/>
        <w:adjustRightInd/>
        <w:spacing w:line="260" w:lineRule="exact"/>
        <w:ind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TAT-3365-2017</w:t>
      </w:r>
      <w:bookmarkEnd w:id="0"/>
    </w:p>
    <w:p w:rsidR="00B51A99" w:rsidRDefault="00401F48">
      <w:pPr>
        <w:kinsoku w:val="0"/>
        <w:overflowPunct w:val="0"/>
        <w:autoSpaceDE/>
        <w:autoSpaceDN/>
        <w:adjustRightInd/>
        <w:spacing w:before="615" w:line="30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cinco minutos del catorce de diciembre de dos mil diecisiete.</w:t>
      </w:r>
    </w:p>
    <w:p w:rsidR="00B51A99" w:rsidRDefault="00401F48">
      <w:pPr>
        <w:kinsoku w:val="0"/>
        <w:overflowPunct w:val="0"/>
        <w:autoSpaceDE/>
        <w:autoSpaceDN/>
        <w:adjustRightInd/>
        <w:spacing w:before="300" w:line="309" w:lineRule="exact"/>
        <w:ind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y Nulidad concomitante,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 xml:space="preserve">L.A.Q.S., cédula de identidad número …,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Artículo 7.7 de la Sesión Ordinaria 51-2016 de 20 de octubre de 2016, </w:t>
      </w:r>
      <w:r>
        <w:rPr>
          <w:rFonts w:ascii="Verdana" w:hAnsi="Verdana" w:cs="Verdana"/>
          <w:sz w:val="22"/>
          <w:szCs w:val="22"/>
          <w:lang w:val="es-ES" w:eastAsia="es-ES"/>
        </w:rPr>
        <w:t xml:space="preserve">dictado por la Junta Directiva del Consejo de Transporte Público y tramitado en este despacho bajo </w:t>
      </w:r>
      <w:r>
        <w:rPr>
          <w:rFonts w:ascii="Verdana" w:hAnsi="Verdana" w:cs="Verdana"/>
          <w:b/>
          <w:bCs/>
          <w:sz w:val="22"/>
          <w:szCs w:val="22"/>
          <w:lang w:val="es-ES" w:eastAsia="es-ES"/>
        </w:rPr>
        <w:t>Expediente Administrativo No. TAT-137-17.</w:t>
      </w:r>
    </w:p>
    <w:p w:rsidR="00B51A99" w:rsidRDefault="00401F48">
      <w:pPr>
        <w:kinsoku w:val="0"/>
        <w:overflowPunct w:val="0"/>
        <w:autoSpaceDE/>
        <w:autoSpaceDN/>
        <w:adjustRightInd/>
        <w:spacing w:before="349" w:line="263" w:lineRule="exact"/>
        <w:ind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B51A99" w:rsidRDefault="00401F48">
      <w:pPr>
        <w:kinsoku w:val="0"/>
        <w:overflowPunct w:val="0"/>
        <w:autoSpaceDE/>
        <w:autoSpaceDN/>
        <w:adjustRightInd/>
        <w:spacing w:before="306" w:line="308"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el Artículo 7.7 de la Sesión Ordinaria 51-2016 de 20 de octubre de 2016, </w:t>
      </w:r>
      <w:r>
        <w:rPr>
          <w:rFonts w:ascii="Verdana" w:hAnsi="Verdana" w:cs="Verdana"/>
          <w:sz w:val="22"/>
          <w:szCs w:val="22"/>
          <w:lang w:val="es-ES" w:eastAsia="es-ES"/>
        </w:rPr>
        <w:t xml:space="preserve">dispuso </w:t>
      </w:r>
      <w:r>
        <w:rPr>
          <w:rFonts w:ascii="Verdana" w:hAnsi="Verdana" w:cs="Verdana"/>
          <w:i/>
          <w:iCs/>
          <w:sz w:val="22"/>
          <w:szCs w:val="22"/>
          <w:lang w:val="es-ES" w:eastAsia="es-ES"/>
        </w:rPr>
        <w:t xml:space="preserve">"2. Rechazar por improcedente la solicitud presentada por los señores </w:t>
      </w:r>
      <w:r>
        <w:rPr>
          <w:rFonts w:ascii="Verdana" w:hAnsi="Verdana" w:cs="Verdana"/>
          <w:b/>
          <w:bCs/>
          <w:i/>
          <w:iCs/>
          <w:sz w:val="22"/>
          <w:szCs w:val="22"/>
          <w:lang w:val="es-ES" w:eastAsia="es-ES"/>
        </w:rPr>
        <w:t xml:space="preserve">I.G.R. y L.A.Q.S. </w:t>
      </w:r>
      <w:r>
        <w:rPr>
          <w:rFonts w:ascii="Verdana" w:hAnsi="Verdana" w:cs="Verdana"/>
          <w:sz w:val="22"/>
          <w:szCs w:val="22"/>
          <w:lang w:val="es-ES" w:eastAsia="es-ES"/>
        </w:rPr>
        <w:t xml:space="preserve">3. </w:t>
      </w:r>
      <w:r>
        <w:rPr>
          <w:rFonts w:ascii="Verdana" w:hAnsi="Verdana" w:cs="Verdana"/>
          <w:i/>
          <w:iCs/>
          <w:sz w:val="22"/>
          <w:szCs w:val="22"/>
          <w:lang w:val="es-ES" w:eastAsia="es-ES"/>
        </w:rPr>
        <w:t xml:space="preserve">Nombrar a la Dirección de Asuntos Jurídicos el inicio del procedimiento para determinar la verdad real de los hechos, respecto de la operación del servicio público y el eventual incumplimiento en la formalización en tiempo y forma del traspaso del </w:t>
      </w:r>
      <w:proofErr w:type="gramStart"/>
      <w:r>
        <w:rPr>
          <w:rFonts w:ascii="Verdana" w:hAnsi="Verdana" w:cs="Verdana"/>
          <w:i/>
          <w:iCs/>
          <w:sz w:val="22"/>
          <w:szCs w:val="22"/>
          <w:lang w:val="es-ES" w:eastAsia="es-ES"/>
        </w:rPr>
        <w:t>derecho....</w:t>
      </w:r>
      <w:proofErr w:type="gramEnd"/>
      <w:r>
        <w:rPr>
          <w:rFonts w:ascii="Verdana" w:hAnsi="Verdana" w:cs="Verdana"/>
          <w:i/>
          <w:iCs/>
          <w:sz w:val="22"/>
          <w:szCs w:val="22"/>
          <w:lang w:val="es-ES" w:eastAsia="es-ES"/>
        </w:rPr>
        <w:t xml:space="preserve">" (Léase </w:t>
      </w:r>
      <w:r>
        <w:rPr>
          <w:rFonts w:ascii="Verdana" w:hAnsi="Verdana" w:cs="Verdana"/>
          <w:sz w:val="22"/>
          <w:szCs w:val="22"/>
          <w:lang w:val="es-ES" w:eastAsia="es-ES"/>
        </w:rPr>
        <w:t>folio 12 del expediente administrativo)</w:t>
      </w:r>
    </w:p>
    <w:p w:rsidR="00B51A99" w:rsidRDefault="00401F48" w:rsidP="00401F48">
      <w:pPr>
        <w:kinsoku w:val="0"/>
        <w:overflowPunct w:val="0"/>
        <w:autoSpaceDE/>
        <w:autoSpaceDN/>
        <w:adjustRightInd/>
        <w:spacing w:before="282" w:line="30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recurrente impugna </w:t>
      </w:r>
      <w:r>
        <w:rPr>
          <w:rFonts w:ascii="Verdana" w:hAnsi="Verdana" w:cs="Verdana"/>
          <w:b/>
          <w:bCs/>
          <w:sz w:val="22"/>
          <w:szCs w:val="22"/>
          <w:lang w:val="es-ES" w:eastAsia="es-ES"/>
        </w:rPr>
        <w:t xml:space="preserve">el Artículo 7.7 de la Sesión Ordinaria 51-2016 de 20 de octubre de 2016, </w:t>
      </w:r>
      <w:r>
        <w:rPr>
          <w:rFonts w:ascii="Verdana" w:hAnsi="Verdana" w:cs="Verdana"/>
          <w:sz w:val="22"/>
          <w:szCs w:val="22"/>
          <w:lang w:val="es-ES" w:eastAsia="es-ES"/>
        </w:rPr>
        <w:t>indicando que el acto es nulo pues carece absolutamente de motivación y violenta el numeral 136 de la Ley General de la Administración Pública. El desistimiento presentado es factible de conformidad con el numeral 315 de la Ley General de la Administración Pública y varias resoluciones del Consejo de Transporte Público y del mismo Tribunal Administrativo de Transporte. (Léanse folios del 8 al 11 del expediente</w:t>
      </w:r>
      <w:r>
        <w:rPr>
          <w:rFonts w:ascii="Verdana" w:hAnsi="Verdana" w:cs="Verdana"/>
          <w:sz w:val="22"/>
          <w:szCs w:val="22"/>
          <w:lang w:val="es-ES" w:eastAsia="es-ES"/>
        </w:rPr>
        <w:br/>
        <w:t>administrativo)</w:t>
      </w:r>
    </w:p>
    <w:p w:rsidR="00B51A99" w:rsidRDefault="00401F48">
      <w:pPr>
        <w:kinsoku w:val="0"/>
        <w:overflowPunct w:val="0"/>
        <w:autoSpaceDE/>
        <w:autoSpaceDN/>
        <w:adjustRightInd/>
        <w:spacing w:before="320" w:after="360" w:line="30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7.4.1 de la Sesión Ordinaria 43-2017 del 8 de noviembre de 2017, </w:t>
      </w:r>
      <w:r>
        <w:rPr>
          <w:rFonts w:ascii="Verdana" w:hAnsi="Verdana" w:cs="Verdana"/>
          <w:sz w:val="22"/>
          <w:szCs w:val="22"/>
          <w:lang w:val="es-ES" w:eastAsia="es-ES"/>
        </w:rPr>
        <w:t>conoce y avala la recomendación de la Dirección de Asuntos Jurídicos</w:t>
      </w:r>
    </w:p>
    <w:p w:rsidR="00B51A99" w:rsidRDefault="00B51A99">
      <w:pPr>
        <w:widowControl/>
        <w:rPr>
          <w:sz w:val="24"/>
          <w:szCs w:val="24"/>
        </w:rPr>
        <w:sectPr w:rsidR="00B51A99">
          <w:pgSz w:w="12322" w:h="15744"/>
          <w:pgMar w:top="1417" w:right="1541" w:bottom="368" w:left="1781" w:header="720" w:footer="720" w:gutter="0"/>
          <w:cols w:space="720"/>
          <w:noEndnote/>
        </w:sectPr>
      </w:pPr>
    </w:p>
    <w:p w:rsidR="00B51A99" w:rsidRDefault="00401F48">
      <w:pPr>
        <w:tabs>
          <w:tab w:val="right" w:pos="2448"/>
        </w:tabs>
        <w:kinsoku w:val="0"/>
        <w:overflowPunct w:val="0"/>
        <w:autoSpaceDE/>
        <w:autoSpaceDN/>
        <w:adjustRightInd/>
        <w:spacing w:before="29" w:line="215" w:lineRule="exact"/>
        <w:textAlignment w:val="baseline"/>
        <w:rPr>
          <w:rFonts w:ascii="Garamond" w:hAnsi="Garamond" w:cs="Garamond"/>
          <w:i/>
          <w:iCs/>
          <w:lang w:val="es-ES" w:eastAsia="es-ES"/>
        </w:rPr>
      </w:pPr>
      <w:r>
        <w:rPr>
          <w:rFonts w:ascii="Garamond" w:hAnsi="Garamond" w:cs="Garamond"/>
          <w:i/>
          <w:iCs/>
          <w:lang w:val="es-ES" w:eastAsia="es-ES"/>
        </w:rPr>
        <w:tab/>
      </w:r>
    </w:p>
    <w:p w:rsidR="00B51A99" w:rsidRDefault="00B51A99">
      <w:pPr>
        <w:widowControl/>
        <w:rPr>
          <w:sz w:val="24"/>
          <w:szCs w:val="24"/>
        </w:rPr>
        <w:sectPr w:rsidR="00B51A99">
          <w:type w:val="continuous"/>
          <w:pgSz w:w="12322" w:h="15744"/>
          <w:pgMar w:top="1417" w:right="2396" w:bottom="368" w:left="7406" w:header="720" w:footer="720" w:gutter="0"/>
          <w:cols w:space="720"/>
          <w:noEndnote/>
        </w:sectPr>
      </w:pPr>
    </w:p>
    <w:p w:rsidR="00B51A99" w:rsidRDefault="00401F48">
      <w:pPr>
        <w:kinsoku w:val="0"/>
        <w:overflowPunct w:val="0"/>
        <w:autoSpaceDE/>
        <w:autoSpaceDN/>
        <w:adjustRightInd/>
        <w:spacing w:before="19" w:line="30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dada mediante informe </w:t>
      </w:r>
      <w:r>
        <w:rPr>
          <w:rFonts w:ascii="Verdana" w:hAnsi="Verdana" w:cs="Verdana"/>
          <w:b/>
          <w:bCs/>
          <w:sz w:val="22"/>
          <w:szCs w:val="22"/>
          <w:lang w:val="es-ES" w:eastAsia="es-ES"/>
        </w:rPr>
        <w:t xml:space="preserve">DAJ-2017-002690 de 27 de octubre de 2017 </w:t>
      </w:r>
      <w:r>
        <w:rPr>
          <w:rFonts w:ascii="Verdana" w:hAnsi="Verdana" w:cs="Verdana"/>
          <w:sz w:val="22"/>
          <w:szCs w:val="22"/>
          <w:lang w:val="es-ES" w:eastAsia="es-ES"/>
        </w:rPr>
        <w:t>y procede a rechazar el recurso por improcedente y carecer de interés actual. (Léanse folios del 1 al 6 del expediente administrativo)</w:t>
      </w:r>
    </w:p>
    <w:p w:rsidR="00B51A99" w:rsidRDefault="00401F48">
      <w:pPr>
        <w:kinsoku w:val="0"/>
        <w:overflowPunct w:val="0"/>
        <w:autoSpaceDE/>
        <w:autoSpaceDN/>
        <w:adjustRightInd/>
        <w:spacing w:before="312" w:line="30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 de la Sesión Ordinaria 77-2014 del 15 de diciembre de 2014, </w:t>
      </w:r>
      <w:r>
        <w:rPr>
          <w:rFonts w:ascii="Verdana" w:hAnsi="Verdana" w:cs="Verdana"/>
          <w:sz w:val="22"/>
          <w:szCs w:val="22"/>
          <w:lang w:val="es-ES" w:eastAsia="es-ES"/>
        </w:rPr>
        <w:t xml:space="preserve">conoce a avala el informe de la Dirección de Asuntos Jurídicos </w:t>
      </w:r>
      <w:r>
        <w:rPr>
          <w:rFonts w:ascii="Verdana" w:hAnsi="Verdana" w:cs="Verdana"/>
          <w:b/>
          <w:bCs/>
          <w:sz w:val="22"/>
          <w:szCs w:val="22"/>
          <w:lang w:val="es-ES" w:eastAsia="es-ES"/>
        </w:rPr>
        <w:t xml:space="preserve">DAJ-2014004670 de 8 de diciembre de 2014 </w:t>
      </w:r>
      <w:r>
        <w:rPr>
          <w:rFonts w:ascii="Verdana" w:hAnsi="Verdana" w:cs="Verdana"/>
          <w:sz w:val="22"/>
          <w:szCs w:val="22"/>
          <w:lang w:val="es-ES" w:eastAsia="es-ES"/>
        </w:rPr>
        <w:t xml:space="preserve">y aprueba solicitud de cesión de la placa de taxi </w:t>
      </w:r>
      <w:r>
        <w:rPr>
          <w:rFonts w:ascii="Verdana" w:hAnsi="Verdana" w:cs="Verdana"/>
          <w:b/>
          <w:bCs/>
          <w:sz w:val="22"/>
          <w:szCs w:val="22"/>
          <w:lang w:val="es-ES" w:eastAsia="es-ES"/>
        </w:rPr>
        <w:t xml:space="preserve">TSJ XXXX, </w:t>
      </w:r>
      <w:r>
        <w:rPr>
          <w:rFonts w:ascii="Verdana" w:hAnsi="Verdana" w:cs="Verdana"/>
          <w:sz w:val="22"/>
          <w:szCs w:val="22"/>
          <w:lang w:val="es-ES" w:eastAsia="es-ES"/>
        </w:rPr>
        <w:t xml:space="preserve">del señor </w:t>
      </w:r>
      <w:r>
        <w:rPr>
          <w:rFonts w:ascii="Verdana" w:hAnsi="Verdana" w:cs="Verdana"/>
          <w:b/>
          <w:bCs/>
          <w:sz w:val="22"/>
          <w:szCs w:val="22"/>
          <w:lang w:val="es-ES" w:eastAsia="es-ES"/>
        </w:rPr>
        <w:t xml:space="preserve">L.A.Q.S. cédula de identidad número …1 a favor de la señora I.G.R. cédula de identidad número ... </w:t>
      </w:r>
      <w:r>
        <w:rPr>
          <w:rFonts w:ascii="Verdana" w:hAnsi="Verdana" w:cs="Verdana"/>
          <w:sz w:val="22"/>
          <w:szCs w:val="22"/>
          <w:lang w:val="es-ES" w:eastAsia="es-ES"/>
        </w:rPr>
        <w:t>(Léanse folios 19 y 20 y del 40 al 42 del expediente administrativo)</w:t>
      </w:r>
    </w:p>
    <w:p w:rsidR="00B51A99" w:rsidRDefault="00401F48">
      <w:pPr>
        <w:kinsoku w:val="0"/>
        <w:overflowPunct w:val="0"/>
        <w:autoSpaceDE/>
        <w:autoSpaceDN/>
        <w:adjustRightInd/>
        <w:spacing w:before="312" w:line="305"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B51A99" w:rsidRDefault="00401F48">
      <w:pPr>
        <w:kinsoku w:val="0"/>
        <w:overflowPunct w:val="0"/>
        <w:autoSpaceDE/>
        <w:autoSpaceDN/>
        <w:adjustRightInd/>
        <w:spacing w:before="348" w:line="257" w:lineRule="exact"/>
        <w:ind w:left="72" w:right="72"/>
        <w:textAlignment w:val="baseline"/>
        <w:rPr>
          <w:rFonts w:ascii="Verdana" w:hAnsi="Verdana" w:cs="Verdana"/>
          <w:b/>
          <w:bCs/>
          <w:i/>
          <w:iCs/>
          <w:spacing w:val="-1"/>
          <w:sz w:val="19"/>
          <w:szCs w:val="19"/>
          <w:lang w:val="es-ES" w:eastAsia="es-ES"/>
        </w:rPr>
      </w:pPr>
      <w:r>
        <w:rPr>
          <w:rFonts w:ascii="Verdana" w:hAnsi="Verdana" w:cs="Verdana"/>
          <w:b/>
          <w:bCs/>
          <w:i/>
          <w:iCs/>
          <w:spacing w:val="-1"/>
          <w:sz w:val="19"/>
          <w:szCs w:val="19"/>
          <w:lang w:val="es-ES" w:eastAsia="es-ES"/>
        </w:rPr>
        <w:t>REDACTA LA JUEZA PÉREZ PELÁEZ; Y,</w:t>
      </w:r>
    </w:p>
    <w:p w:rsidR="00B51A99" w:rsidRDefault="00401F48">
      <w:pPr>
        <w:kinsoku w:val="0"/>
        <w:overflowPunct w:val="0"/>
        <w:autoSpaceDE/>
        <w:autoSpaceDN/>
        <w:adjustRightInd/>
        <w:spacing w:before="615" w:line="271"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B51A99" w:rsidRDefault="00401F48">
      <w:pPr>
        <w:numPr>
          <w:ilvl w:val="0"/>
          <w:numId w:val="1"/>
        </w:numPr>
        <w:kinsoku w:val="0"/>
        <w:overflowPunct w:val="0"/>
        <w:autoSpaceDE/>
        <w:autoSpaceDN/>
        <w:adjustRightInd/>
        <w:spacing w:before="275" w:line="266"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rsidR="00B51A99" w:rsidRDefault="00401F48">
      <w:pPr>
        <w:numPr>
          <w:ilvl w:val="0"/>
          <w:numId w:val="1"/>
        </w:numPr>
        <w:kinsoku w:val="0"/>
        <w:overflowPunct w:val="0"/>
        <w:autoSpaceDE/>
        <w:autoSpaceDN/>
        <w:adjustRightInd/>
        <w:spacing w:before="265" w:line="271" w:lineRule="exact"/>
        <w:ind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LA ADMISIBILIDAD DEL RECURSO:</w:t>
      </w:r>
    </w:p>
    <w:p w:rsidR="00B51A99" w:rsidRDefault="00401F48">
      <w:pPr>
        <w:kinsoku w:val="0"/>
        <w:overflowPunct w:val="0"/>
        <w:autoSpaceDE/>
        <w:autoSpaceDN/>
        <w:adjustRightInd/>
        <w:spacing w:before="254"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cuanto al plazo de presentación del recurso: 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el 3 de noviembre de 2016 (Ver folio 8 del expediente) ya había transcurrido el plazo establecido por ley para recurrir dicho acto.</w:t>
      </w:r>
    </w:p>
    <w:p w:rsidR="00B51A99" w:rsidRDefault="00401F48">
      <w:pPr>
        <w:kinsoku w:val="0"/>
        <w:overflowPunct w:val="0"/>
        <w:autoSpaceDE/>
        <w:autoSpaceDN/>
        <w:adjustRightInd/>
        <w:spacing w:before="260" w:after="739" w:line="27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Según se puede verificar de las piezas del expediente, el libelo fue presentado el 3 de noviembre de 2016, pero el acuerdo recurrido, fue notificado al recurrente desde el 21 de octubre de 2016, (ver folio 13 del expediente), por lo que las acciones recursivas se presentaron fuera del plazo de 5 días que indica el artículo 11 de la Ley N°7969, y en los términos de la Ley de Notificaciones vigente.</w:t>
      </w:r>
    </w:p>
    <w:p w:rsidR="00B51A99" w:rsidRDefault="00B51A99">
      <w:pPr>
        <w:widowControl/>
        <w:rPr>
          <w:sz w:val="24"/>
          <w:szCs w:val="24"/>
        </w:rPr>
        <w:sectPr w:rsidR="00B51A99">
          <w:pgSz w:w="12322" w:h="15744"/>
          <w:pgMar w:top="1240" w:right="1671" w:bottom="548" w:left="1651" w:header="720" w:footer="720" w:gutter="0"/>
          <w:cols w:space="720"/>
          <w:noEndnote/>
        </w:sectPr>
      </w:pPr>
    </w:p>
    <w:p w:rsidR="00B51A99" w:rsidRDefault="00401F48">
      <w:pPr>
        <w:tabs>
          <w:tab w:val="right" w:pos="2448"/>
        </w:tabs>
        <w:kinsoku w:val="0"/>
        <w:overflowPunct w:val="0"/>
        <w:autoSpaceDE/>
        <w:autoSpaceDN/>
        <w:adjustRightInd/>
        <w:spacing w:before="28" w:line="230" w:lineRule="exact"/>
        <w:textAlignment w:val="baseline"/>
        <w:rPr>
          <w:rFonts w:ascii="Garamond" w:hAnsi="Garamond" w:cs="Garamond"/>
          <w:b/>
          <w:bCs/>
          <w:lang w:val="es-ES" w:eastAsia="es-ES"/>
        </w:rPr>
      </w:pPr>
      <w:r>
        <w:rPr>
          <w:rFonts w:ascii="Garamond" w:hAnsi="Garamond" w:cs="Garamond"/>
          <w:i/>
          <w:iCs/>
          <w:lang w:val="es-ES" w:eastAsia="es-ES"/>
        </w:rPr>
        <w:tab/>
      </w:r>
    </w:p>
    <w:p w:rsidR="00B51A99" w:rsidRDefault="00B51A99">
      <w:pPr>
        <w:widowControl/>
        <w:rPr>
          <w:sz w:val="24"/>
          <w:szCs w:val="24"/>
        </w:rPr>
        <w:sectPr w:rsidR="00B51A99">
          <w:type w:val="continuous"/>
          <w:pgSz w:w="12322" w:h="15744"/>
          <w:pgMar w:top="1240" w:right="2525" w:bottom="548" w:left="7277" w:header="720" w:footer="720" w:gutter="0"/>
          <w:cols w:space="720"/>
          <w:noEndnote/>
        </w:sectPr>
      </w:pPr>
    </w:p>
    <w:p w:rsidR="00B51A99" w:rsidRDefault="00401F48">
      <w:pPr>
        <w:kinsoku w:val="0"/>
        <w:overflowPunct w:val="0"/>
        <w:autoSpaceDE/>
        <w:autoSpaceDN/>
        <w:adjustRightInd/>
        <w:spacing w:before="10" w:line="271" w:lineRule="exact"/>
        <w:ind w:left="72" w:right="72"/>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lastRenderedPageBreak/>
        <w:t xml:space="preserve">En este sentido, el artículo 11 de la Ley </w:t>
      </w:r>
      <w:proofErr w:type="spellStart"/>
      <w:r>
        <w:rPr>
          <w:rFonts w:ascii="Verdana" w:hAnsi="Verdana" w:cs="Verdana"/>
          <w:spacing w:val="-1"/>
          <w:sz w:val="22"/>
          <w:szCs w:val="22"/>
          <w:lang w:val="es-ES" w:eastAsia="es-ES"/>
        </w:rPr>
        <w:t>N°</w:t>
      </w:r>
      <w:proofErr w:type="spellEnd"/>
      <w:r>
        <w:rPr>
          <w:rFonts w:ascii="Verdana" w:hAnsi="Verdana" w:cs="Verdana"/>
          <w:spacing w:val="-1"/>
          <w:sz w:val="22"/>
          <w:szCs w:val="22"/>
          <w:lang w:val="es-ES" w:eastAsia="es-ES"/>
        </w:rPr>
        <w:t xml:space="preserve"> 7969, establece en lo que interesa:</w:t>
      </w:r>
    </w:p>
    <w:p w:rsidR="00B51A99" w:rsidRDefault="00401F48">
      <w:pPr>
        <w:kinsoku w:val="0"/>
        <w:overflowPunct w:val="0"/>
        <w:autoSpaceDE/>
        <w:autoSpaceDN/>
        <w:adjustRightInd/>
        <w:spacing w:before="262"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B51A99" w:rsidRDefault="00401F48">
      <w:pPr>
        <w:kinsoku w:val="0"/>
        <w:overflowPunct w:val="0"/>
        <w:autoSpaceDE/>
        <w:autoSpaceDN/>
        <w:adjustRightInd/>
        <w:spacing w:before="268"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la norma transcrita anteriormente, se determina que el recurso de apelación ha sido presentado de manera extemporánea.</w:t>
      </w:r>
    </w:p>
    <w:p w:rsidR="00B51A99" w:rsidRDefault="00401F48">
      <w:pPr>
        <w:kinsoku w:val="0"/>
        <w:overflowPunct w:val="0"/>
        <w:autoSpaceDE/>
        <w:autoSpaceDN/>
        <w:adjustRightInd/>
        <w:spacing w:before="264" w:line="273"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RESPECTO DE LA NULIDAD QUE SE INVOCA.</w:t>
      </w:r>
    </w:p>
    <w:p w:rsidR="00B51A99" w:rsidRDefault="00401F48">
      <w:pPr>
        <w:kinsoku w:val="0"/>
        <w:overflowPunct w:val="0"/>
        <w:autoSpaceDE/>
        <w:autoSpaceDN/>
        <w:adjustRightInd/>
        <w:spacing w:before="260"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Respecto de la nulidad que se invoca por el recurrente, este Tribunal Administrativo de Transporte ha podido verificar que contrario a lo indicado por el recurrente el acto cuenta con todos los elementos esenciales para su validez y por lo tanto no existe tal nulidad invocada.</w:t>
      </w:r>
    </w:p>
    <w:p w:rsidR="00B51A99" w:rsidRDefault="00401F48" w:rsidP="00401F48">
      <w:pPr>
        <w:kinsoku w:val="0"/>
        <w:overflowPunct w:val="0"/>
        <w:autoSpaceDE/>
        <w:autoSpaceDN/>
        <w:adjustRightInd/>
        <w:spacing w:before="235" w:line="306" w:lineRule="exact"/>
        <w:ind w:left="72" w:right="72"/>
        <w:jc w:val="both"/>
        <w:textAlignment w:val="baseline"/>
        <w:rPr>
          <w:rFonts w:ascii="Verdana" w:hAnsi="Verdana" w:cs="Verdana"/>
          <w:sz w:val="22"/>
          <w:szCs w:val="22"/>
          <w:lang w:val="es-ES" w:eastAsia="es-ES"/>
        </w:rPr>
      </w:pPr>
      <w:r>
        <w:rPr>
          <w:rFonts w:ascii="Verdana" w:hAnsi="Verdana" w:cs="Verdana"/>
          <w:spacing w:val="-3"/>
          <w:sz w:val="22"/>
          <w:szCs w:val="22"/>
          <w:lang w:val="es-ES" w:eastAsia="es-ES"/>
        </w:rPr>
        <w:t xml:space="preserve">Si considera esencial este Tribunal, hacer mención al hecho de que en la especie queda claro que la Junta Directiva del Consejo de Transporte Público, mediante </w:t>
      </w:r>
      <w:r>
        <w:rPr>
          <w:rFonts w:ascii="Verdana" w:hAnsi="Verdana" w:cs="Verdana"/>
          <w:b/>
          <w:bCs/>
          <w:spacing w:val="-3"/>
          <w:sz w:val="22"/>
          <w:szCs w:val="22"/>
          <w:lang w:val="es-ES" w:eastAsia="es-ES"/>
        </w:rPr>
        <w:t xml:space="preserve">acuerdo 7.1 de la Sesión Ordinaria 77-2014 del 15 de diciembre de 2014, </w:t>
      </w:r>
      <w:r>
        <w:rPr>
          <w:rFonts w:ascii="Verdana" w:hAnsi="Verdana" w:cs="Verdana"/>
          <w:spacing w:val="-3"/>
          <w:sz w:val="22"/>
          <w:szCs w:val="22"/>
          <w:lang w:val="es-ES" w:eastAsia="es-ES"/>
        </w:rPr>
        <w:t xml:space="preserve">conoce a avala el informe de la Dirección de Asuntos Jurídicos </w:t>
      </w:r>
      <w:r>
        <w:rPr>
          <w:rFonts w:ascii="Verdana" w:hAnsi="Verdana" w:cs="Verdana"/>
          <w:b/>
          <w:bCs/>
          <w:spacing w:val="-3"/>
          <w:sz w:val="22"/>
          <w:szCs w:val="22"/>
          <w:lang w:val="es-ES" w:eastAsia="es-ES"/>
        </w:rPr>
        <w:t xml:space="preserve">DAJ 2014004670 de 8 de diciembre de 2014 </w:t>
      </w:r>
      <w:r>
        <w:rPr>
          <w:rFonts w:ascii="Verdana" w:hAnsi="Verdana" w:cs="Verdana"/>
          <w:spacing w:val="-3"/>
          <w:sz w:val="22"/>
          <w:szCs w:val="22"/>
          <w:lang w:val="es-ES" w:eastAsia="es-ES"/>
        </w:rPr>
        <w:t xml:space="preserve">y aprueba solicitud de cesión de la placa de taxi </w:t>
      </w:r>
      <w:r>
        <w:rPr>
          <w:rFonts w:ascii="Verdana" w:hAnsi="Verdana" w:cs="Verdana"/>
          <w:b/>
          <w:bCs/>
          <w:spacing w:val="-3"/>
          <w:sz w:val="22"/>
          <w:szCs w:val="22"/>
          <w:lang w:val="es-ES" w:eastAsia="es-ES"/>
        </w:rPr>
        <w:t xml:space="preserve">TSJ XXXX, </w:t>
      </w:r>
      <w:r>
        <w:rPr>
          <w:rFonts w:ascii="Verdana" w:hAnsi="Verdana" w:cs="Verdana"/>
          <w:spacing w:val="-3"/>
          <w:sz w:val="22"/>
          <w:szCs w:val="22"/>
          <w:lang w:val="es-ES" w:eastAsia="es-ES"/>
        </w:rPr>
        <w:t xml:space="preserve">del señor </w:t>
      </w:r>
      <w:r>
        <w:rPr>
          <w:rFonts w:ascii="Verdana" w:hAnsi="Verdana" w:cs="Verdana"/>
          <w:b/>
          <w:bCs/>
          <w:spacing w:val="-3"/>
          <w:sz w:val="22"/>
          <w:szCs w:val="22"/>
          <w:lang w:val="es-ES" w:eastAsia="es-ES"/>
        </w:rPr>
        <w:t xml:space="preserve">L.A.Q.S. cédula de identidad número … a favor de la señora I.G.R. </w:t>
      </w:r>
      <w:r>
        <w:rPr>
          <w:rFonts w:ascii="Verdana" w:hAnsi="Verdana" w:cs="Verdana"/>
          <w:b/>
          <w:bCs/>
          <w:sz w:val="22"/>
          <w:szCs w:val="22"/>
          <w:lang w:val="es-ES" w:eastAsia="es-ES"/>
        </w:rPr>
        <w:t xml:space="preserve">cédula de identidad número … </w:t>
      </w:r>
      <w:r>
        <w:rPr>
          <w:rFonts w:ascii="Verdana" w:hAnsi="Verdana" w:cs="Verdana"/>
          <w:sz w:val="22"/>
          <w:szCs w:val="22"/>
          <w:lang w:val="es-ES" w:eastAsia="es-ES"/>
        </w:rPr>
        <w:t>(Léanse folios 19 y 20 y del 40 al 42 del expediente administrativo)</w:t>
      </w:r>
    </w:p>
    <w:p w:rsidR="00B51A99" w:rsidRDefault="00401F48" w:rsidP="00401F48">
      <w:pPr>
        <w:kinsoku w:val="0"/>
        <w:overflowPunct w:val="0"/>
        <w:autoSpaceDE/>
        <w:autoSpaceDN/>
        <w:adjustRightInd/>
        <w:spacing w:before="277" w:line="306" w:lineRule="exact"/>
        <w:ind w:left="72" w:right="72"/>
        <w:jc w:val="both"/>
        <w:textAlignment w:val="baseline"/>
        <w:rPr>
          <w:rFonts w:ascii="Verdana" w:hAnsi="Verdana" w:cs="Verdana"/>
          <w:sz w:val="22"/>
          <w:szCs w:val="22"/>
          <w:lang w:val="es-ES" w:eastAsia="es-ES"/>
        </w:rPr>
      </w:pPr>
      <w:r>
        <w:rPr>
          <w:rFonts w:ascii="Verdana" w:hAnsi="Verdana" w:cs="Verdana"/>
          <w:spacing w:val="-1"/>
          <w:sz w:val="22"/>
          <w:szCs w:val="22"/>
          <w:lang w:val="es-ES" w:eastAsia="es-ES"/>
        </w:rPr>
        <w:t xml:space="preserve">Así mismo se verifica también que la Junta Directiva del Consejo de Transporte Público, mediante </w:t>
      </w:r>
      <w:r>
        <w:rPr>
          <w:rFonts w:ascii="Verdana" w:hAnsi="Verdana" w:cs="Verdana"/>
          <w:b/>
          <w:bCs/>
          <w:spacing w:val="-1"/>
          <w:sz w:val="22"/>
          <w:szCs w:val="22"/>
          <w:lang w:val="es-ES" w:eastAsia="es-ES"/>
        </w:rPr>
        <w:t xml:space="preserve">el Artículo 7.7 de la Sesión Ordinaria 51-2016 de 20 de octubre de 2016, </w:t>
      </w:r>
      <w:r>
        <w:rPr>
          <w:rFonts w:ascii="Verdana" w:hAnsi="Verdana" w:cs="Verdana"/>
          <w:spacing w:val="-1"/>
          <w:sz w:val="22"/>
          <w:szCs w:val="22"/>
          <w:lang w:val="es-ES" w:eastAsia="es-ES"/>
        </w:rPr>
        <w:t xml:space="preserve">dispuso </w:t>
      </w:r>
      <w:r>
        <w:rPr>
          <w:rFonts w:ascii="Verdana" w:hAnsi="Verdana" w:cs="Verdana"/>
          <w:i/>
          <w:iCs/>
          <w:spacing w:val="-1"/>
          <w:sz w:val="22"/>
          <w:szCs w:val="22"/>
          <w:lang w:val="es-ES" w:eastAsia="es-ES"/>
        </w:rPr>
        <w:t xml:space="preserve">"2. Rechazar por improcedente la solicitud </w:t>
      </w:r>
      <w:r>
        <w:rPr>
          <w:rFonts w:ascii="Verdana" w:hAnsi="Verdana" w:cs="Verdana"/>
          <w:i/>
          <w:iCs/>
          <w:sz w:val="22"/>
          <w:szCs w:val="22"/>
          <w:lang w:val="es-ES" w:eastAsia="es-ES"/>
        </w:rPr>
        <w:t xml:space="preserve">presentada por los señores </w:t>
      </w:r>
      <w:r>
        <w:rPr>
          <w:rFonts w:ascii="Verdana" w:hAnsi="Verdana" w:cs="Verdana"/>
          <w:b/>
          <w:bCs/>
          <w:i/>
          <w:iCs/>
          <w:sz w:val="22"/>
          <w:szCs w:val="22"/>
          <w:lang w:val="es-ES" w:eastAsia="es-ES"/>
        </w:rPr>
        <w:t xml:space="preserve">I.G.R. y L.A.Q.S. </w:t>
      </w:r>
      <w:r>
        <w:rPr>
          <w:rFonts w:ascii="Verdana" w:hAnsi="Verdana" w:cs="Verdana"/>
          <w:i/>
          <w:iCs/>
          <w:sz w:val="22"/>
          <w:szCs w:val="22"/>
          <w:lang w:val="es-ES" w:eastAsia="es-ES"/>
        </w:rPr>
        <w:t xml:space="preserve">3. Nombrar a la Dirección de Asuntos Jurídicos el inicio del procedimiento para determinar la verdad real de los hechos, respecto de la operación del servicio público y el eventual incumplimiento en la formalización en tiempo y forma del traspaso del </w:t>
      </w:r>
      <w:proofErr w:type="gramStart"/>
      <w:r>
        <w:rPr>
          <w:rFonts w:ascii="Verdana" w:hAnsi="Verdana" w:cs="Verdana"/>
          <w:i/>
          <w:iCs/>
          <w:sz w:val="22"/>
          <w:szCs w:val="22"/>
          <w:lang w:val="es-ES" w:eastAsia="es-ES"/>
        </w:rPr>
        <w:t>derecho....</w:t>
      </w:r>
      <w:proofErr w:type="gramEnd"/>
      <w:r>
        <w:rPr>
          <w:rFonts w:ascii="Verdana" w:hAnsi="Verdana" w:cs="Verdana"/>
          <w:i/>
          <w:iCs/>
          <w:sz w:val="22"/>
          <w:szCs w:val="22"/>
          <w:lang w:val="es-ES" w:eastAsia="es-ES"/>
        </w:rPr>
        <w:t xml:space="preserve">" </w:t>
      </w:r>
      <w:r>
        <w:rPr>
          <w:rFonts w:ascii="Verdana" w:hAnsi="Verdana" w:cs="Verdana"/>
          <w:sz w:val="22"/>
          <w:szCs w:val="22"/>
          <w:lang w:val="es-ES" w:eastAsia="es-ES"/>
        </w:rPr>
        <w:t>(Léase folio 12 del expediente administrativo)</w:t>
      </w:r>
    </w:p>
    <w:p w:rsidR="00B51A99" w:rsidRDefault="00401F48" w:rsidP="00401F48">
      <w:pPr>
        <w:kinsoku w:val="0"/>
        <w:overflowPunct w:val="0"/>
        <w:autoSpaceDE/>
        <w:autoSpaceDN/>
        <w:adjustRightInd/>
        <w:spacing w:before="309" w:line="313" w:lineRule="exact"/>
        <w:ind w:left="72" w:right="72"/>
        <w:jc w:val="both"/>
        <w:textAlignment w:val="baseline"/>
        <w:rPr>
          <w:rFonts w:ascii="Verdana" w:hAnsi="Verdana" w:cs="Verdana"/>
          <w:sz w:val="22"/>
          <w:szCs w:val="22"/>
          <w:lang w:val="es-ES" w:eastAsia="es-ES"/>
        </w:rPr>
      </w:pPr>
      <w:r>
        <w:rPr>
          <w:rFonts w:ascii="Verdana" w:hAnsi="Verdana" w:cs="Verdana"/>
          <w:spacing w:val="-3"/>
          <w:sz w:val="22"/>
          <w:szCs w:val="22"/>
          <w:lang w:val="es-ES" w:eastAsia="es-ES"/>
        </w:rPr>
        <w:t xml:space="preserve">De lo anterior es claro que el recurrente ya no ostenta la condición de concesionario de la placa de taxi </w:t>
      </w:r>
      <w:r>
        <w:rPr>
          <w:rFonts w:ascii="Verdana" w:hAnsi="Verdana" w:cs="Verdana"/>
          <w:b/>
          <w:bCs/>
          <w:spacing w:val="-3"/>
          <w:sz w:val="22"/>
          <w:szCs w:val="22"/>
          <w:lang w:val="es-ES" w:eastAsia="es-ES"/>
        </w:rPr>
        <w:t xml:space="preserve">TSJ XXXX, </w:t>
      </w:r>
      <w:r>
        <w:rPr>
          <w:rFonts w:ascii="Verdana" w:hAnsi="Verdana" w:cs="Verdana"/>
          <w:spacing w:val="-3"/>
          <w:sz w:val="22"/>
          <w:szCs w:val="22"/>
          <w:lang w:val="es-ES" w:eastAsia="es-ES"/>
        </w:rPr>
        <w:t xml:space="preserve">por cuanto la cedió a </w:t>
      </w:r>
      <w:r>
        <w:rPr>
          <w:rFonts w:ascii="Verdana" w:hAnsi="Verdana" w:cs="Verdana"/>
          <w:b/>
          <w:bCs/>
          <w:spacing w:val="-3"/>
          <w:sz w:val="22"/>
          <w:szCs w:val="22"/>
          <w:lang w:val="es-ES" w:eastAsia="es-ES"/>
        </w:rPr>
        <w:t xml:space="preserve">I.G.R. cédula de identidad número …, desde el año </w:t>
      </w:r>
      <w:r>
        <w:rPr>
          <w:rFonts w:ascii="Verdana" w:hAnsi="Verdana" w:cs="Verdana"/>
          <w:b/>
          <w:bCs/>
          <w:sz w:val="22"/>
          <w:szCs w:val="22"/>
          <w:lang w:val="es-ES" w:eastAsia="es-ES"/>
        </w:rPr>
        <w:t xml:space="preserve">2014. </w:t>
      </w:r>
      <w:r>
        <w:rPr>
          <w:rFonts w:ascii="Verdana" w:hAnsi="Verdana" w:cs="Verdana"/>
          <w:sz w:val="22"/>
          <w:szCs w:val="22"/>
          <w:lang w:val="es-ES" w:eastAsia="es-ES"/>
        </w:rPr>
        <w:t>Siendo así el recurrente carece de la Legitimación requerida para poder accionar en el presente asunto.</w:t>
      </w:r>
    </w:p>
    <w:p w:rsidR="00B51A99" w:rsidRDefault="00B51A99">
      <w:pPr>
        <w:widowControl/>
        <w:rPr>
          <w:sz w:val="24"/>
          <w:szCs w:val="24"/>
        </w:rPr>
        <w:sectPr w:rsidR="00B51A99">
          <w:pgSz w:w="12312" w:h="15744"/>
          <w:pgMar w:top="1500" w:right="1569" w:bottom="308" w:left="1743" w:header="720" w:footer="720" w:gutter="0"/>
          <w:cols w:space="720"/>
          <w:noEndnote/>
        </w:sectPr>
      </w:pPr>
    </w:p>
    <w:p w:rsidR="00B51A99" w:rsidRDefault="00401F48">
      <w:pPr>
        <w:tabs>
          <w:tab w:val="right" w:pos="2448"/>
        </w:tabs>
        <w:kinsoku w:val="0"/>
        <w:overflowPunct w:val="0"/>
        <w:autoSpaceDE/>
        <w:autoSpaceDN/>
        <w:adjustRightInd/>
        <w:spacing w:before="29" w:line="215" w:lineRule="exact"/>
        <w:textAlignment w:val="baseline"/>
        <w:rPr>
          <w:rFonts w:ascii="Garamond" w:hAnsi="Garamond" w:cs="Garamond"/>
          <w:lang w:val="es-ES" w:eastAsia="es-ES"/>
        </w:rPr>
      </w:pPr>
      <w:r>
        <w:rPr>
          <w:rFonts w:ascii="Garamond" w:hAnsi="Garamond" w:cs="Garamond"/>
          <w:i/>
          <w:iCs/>
          <w:lang w:val="es-ES" w:eastAsia="es-ES"/>
        </w:rPr>
        <w:tab/>
      </w:r>
    </w:p>
    <w:p w:rsidR="00B51A99" w:rsidRDefault="00B51A99">
      <w:pPr>
        <w:widowControl/>
        <w:rPr>
          <w:sz w:val="24"/>
          <w:szCs w:val="24"/>
        </w:rPr>
        <w:sectPr w:rsidR="00B51A99">
          <w:type w:val="continuous"/>
          <w:pgSz w:w="12312" w:h="15744"/>
          <w:pgMar w:top="1500" w:right="2443" w:bottom="308" w:left="7349" w:header="720" w:footer="720" w:gutter="0"/>
          <w:cols w:space="720"/>
          <w:noEndnote/>
        </w:sectPr>
      </w:pPr>
    </w:p>
    <w:p w:rsidR="00B51A99" w:rsidRDefault="00401F48">
      <w:pPr>
        <w:kinsoku w:val="0"/>
        <w:overflowPunct w:val="0"/>
        <w:autoSpaceDE/>
        <w:autoSpaceDN/>
        <w:adjustRightInd/>
        <w:spacing w:before="5" w:line="30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Es requisito indispensable, para poder accionar en cualquier procedimiento jurídico y a esto no escapa la interposición de las acciones recursivas, contar con la debida Legitimación para ello.</w:t>
      </w:r>
    </w:p>
    <w:p w:rsidR="00B51A99" w:rsidRDefault="00401F48">
      <w:pPr>
        <w:kinsoku w:val="0"/>
        <w:overflowPunct w:val="0"/>
        <w:autoSpaceDE/>
        <w:autoSpaceDN/>
        <w:adjustRightInd/>
        <w:spacing w:before="322" w:line="30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legitimación para accionar jurídicamente, alude a la aptitud de un sujeto para ser considerado parte en un proceso concreto.</w:t>
      </w:r>
    </w:p>
    <w:p w:rsidR="00B51A99" w:rsidRDefault="00401F48">
      <w:pPr>
        <w:kinsoku w:val="0"/>
        <w:overflowPunct w:val="0"/>
        <w:autoSpaceDE/>
        <w:autoSpaceDN/>
        <w:adjustRightInd/>
        <w:spacing w:before="323" w:line="29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artículo 275 de la Ley General de la Administración Pública, en cuanto a la Legitimación indica:</w:t>
      </w:r>
    </w:p>
    <w:p w:rsidR="00B51A99" w:rsidRDefault="00401F48">
      <w:pPr>
        <w:kinsoku w:val="0"/>
        <w:overflowPunct w:val="0"/>
        <w:autoSpaceDE/>
        <w:autoSpaceDN/>
        <w:adjustRightInd/>
        <w:spacing w:before="7" w:line="224" w:lineRule="exact"/>
        <w:ind w:left="72" w:right="72"/>
        <w:jc w:val="both"/>
        <w:textAlignment w:val="baseline"/>
        <w:rPr>
          <w:rFonts w:ascii="Verdana" w:hAnsi="Verdana" w:cs="Verdana"/>
          <w:sz w:val="16"/>
          <w:szCs w:val="16"/>
          <w:lang w:val="es-ES" w:eastAsia="es-ES"/>
        </w:rPr>
      </w:pPr>
      <w:r>
        <w:rPr>
          <w:rFonts w:ascii="Verdana" w:hAnsi="Verdana" w:cs="Verdana"/>
          <w:sz w:val="16"/>
          <w:szCs w:val="16"/>
          <w:lang w:val="es-ES" w:eastAsia="es-ES"/>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B51A99" w:rsidRDefault="00401F48">
      <w:pPr>
        <w:kinsoku w:val="0"/>
        <w:overflowPunct w:val="0"/>
        <w:autoSpaceDE/>
        <w:autoSpaceDN/>
        <w:adjustRightInd/>
        <w:spacing w:before="296" w:line="30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Con lo dicho, debe entenderse que el interés legítimo lo tiene quien al lograr la anulación del acto impugnado mediante el recurso de apelación, pueda ser beneficiado con el dictado de un nuevo acto que le otorgue la concesión que pretende y no solo que con sus acciones logre anular el acto, pero sin las posibilidades de que a la postre se le pueda otorgar la autorización de explotación del servicio remunerado de taxi, lo cual no se aplica en este caso pues como se dijo ella no tenía ninguna posibilidad jurídica de obtener la concesión que se cancela con el acto recurrido.</w:t>
      </w:r>
    </w:p>
    <w:p w:rsidR="00B51A99" w:rsidRDefault="00401F48">
      <w:pPr>
        <w:kinsoku w:val="0"/>
        <w:overflowPunct w:val="0"/>
        <w:autoSpaceDE/>
        <w:autoSpaceDN/>
        <w:adjustRightInd/>
        <w:spacing w:before="345" w:line="264"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 Sala Primera de la Corte Suprema de Justicia en su sentencia de fecha 04 de</w:t>
      </w:r>
    </w:p>
    <w:p w:rsidR="00B51A99" w:rsidRDefault="00401F48">
      <w:pPr>
        <w:tabs>
          <w:tab w:val="left" w:pos="1944"/>
        </w:tabs>
        <w:kinsoku w:val="0"/>
        <w:overflowPunct w:val="0"/>
        <w:autoSpaceDE/>
        <w:autoSpaceDN/>
        <w:adjustRightInd/>
        <w:spacing w:before="3" w:line="30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julio de 2013</w:t>
      </w:r>
      <w:r>
        <w:rPr>
          <w:rFonts w:ascii="Verdana" w:hAnsi="Verdana" w:cs="Verdana"/>
          <w:sz w:val="22"/>
          <w:szCs w:val="22"/>
          <w:lang w:val="es-ES" w:eastAsia="es-ES"/>
        </w:rPr>
        <w:tab/>
        <w:t>de las 09:20:00 horas indicó respecto de la Legitimación lo siguiente:</w:t>
      </w:r>
    </w:p>
    <w:p w:rsidR="00B51A99" w:rsidRDefault="00401F48">
      <w:pPr>
        <w:kinsoku w:val="0"/>
        <w:overflowPunct w:val="0"/>
        <w:autoSpaceDE/>
        <w:autoSpaceDN/>
        <w:adjustRightInd/>
        <w:spacing w:before="15" w:line="224" w:lineRule="exact"/>
        <w:ind w:left="504" w:right="432"/>
        <w:jc w:val="both"/>
        <w:textAlignment w:val="baseline"/>
        <w:rPr>
          <w:rFonts w:ascii="Verdana" w:hAnsi="Verdana" w:cs="Verdana"/>
          <w:spacing w:val="-2"/>
          <w:sz w:val="16"/>
          <w:szCs w:val="16"/>
          <w:lang w:val="es-ES" w:eastAsia="es-ES"/>
        </w:rPr>
      </w:pPr>
      <w:r>
        <w:rPr>
          <w:rFonts w:ascii="Verdana" w:hAnsi="Verdana" w:cs="Verdana"/>
          <w:spacing w:val="-2"/>
          <w:sz w:val="16"/>
          <w:szCs w:val="16"/>
          <w:lang w:val="es-ES" w:eastAsia="es-ES"/>
        </w:rPr>
        <w:t xml:space="preserve">"La legitimación constituye un presupuesto de la pretensión formulada en la demanda y de la oposición hecha por el demandado, para hacer posible la sentencia de fondo que las resuelve; consecuentemente la legitimación en la causa no constituye un presupuesto procesal, en tanto </w:t>
      </w:r>
      <w:proofErr w:type="gramStart"/>
      <w:r>
        <w:rPr>
          <w:rFonts w:ascii="Verdana" w:hAnsi="Verdana" w:cs="Verdana"/>
          <w:spacing w:val="-2"/>
          <w:sz w:val="16"/>
          <w:szCs w:val="16"/>
          <w:lang w:val="es-ES" w:eastAsia="es-ES"/>
        </w:rPr>
        <w:t>no  se</w:t>
      </w:r>
      <w:proofErr w:type="gramEnd"/>
      <w:r>
        <w:rPr>
          <w:rFonts w:ascii="Verdana" w:hAnsi="Verdana" w:cs="Verdana"/>
          <w:spacing w:val="-2"/>
          <w:sz w:val="16"/>
          <w:szCs w:val="16"/>
          <w:lang w:val="es-ES" w:eastAsia="es-ES"/>
        </w:rPr>
        <w:t xml:space="preserv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 La ausencia de legitimación en la causa constituye un impedimento sustancial, si el juzgador se percata de la falta de la misma, así debe declararlo de oficio y dictar una sentencia inhibitoria, lo que no es óbice para que sea alegada oportunamente como excepción previa... ...La legitimación en la causa demás de determinar </w:t>
      </w:r>
      <w:proofErr w:type="spellStart"/>
      <w:r>
        <w:rPr>
          <w:rFonts w:ascii="Verdana" w:hAnsi="Verdana" w:cs="Verdana"/>
          <w:spacing w:val="-2"/>
          <w:sz w:val="16"/>
          <w:szCs w:val="16"/>
          <w:lang w:val="es-ES" w:eastAsia="es-ES"/>
        </w:rPr>
        <w:t>quienes</w:t>
      </w:r>
      <w:proofErr w:type="spellEnd"/>
      <w:r>
        <w:rPr>
          <w:rFonts w:ascii="Verdana" w:hAnsi="Verdana" w:cs="Verdana"/>
          <w:spacing w:val="-2"/>
          <w:sz w:val="16"/>
          <w:szCs w:val="16"/>
          <w:lang w:val="es-ES" w:eastAsia="es-ES"/>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legitimación como un presupuesto de fondo necesario para la procedencia de la</w:t>
      </w:r>
    </w:p>
    <w:p w:rsidR="00B51A99" w:rsidRDefault="00401F48">
      <w:pPr>
        <w:tabs>
          <w:tab w:val="left" w:pos="7920"/>
        </w:tabs>
        <w:kinsoku w:val="0"/>
        <w:overflowPunct w:val="0"/>
        <w:autoSpaceDE/>
        <w:autoSpaceDN/>
        <w:adjustRightInd/>
        <w:spacing w:before="285" w:line="214" w:lineRule="exact"/>
        <w:ind w:left="5616" w:right="72"/>
        <w:textAlignment w:val="baseline"/>
        <w:rPr>
          <w:rFonts w:ascii="Garamond" w:hAnsi="Garamond" w:cs="Garamond"/>
          <w:b/>
          <w:bCs/>
          <w:spacing w:val="1"/>
          <w:lang w:val="es-ES" w:eastAsia="es-ES"/>
        </w:rPr>
      </w:pPr>
      <w:r>
        <w:rPr>
          <w:rFonts w:ascii="Garamond" w:hAnsi="Garamond" w:cs="Garamond"/>
          <w:i/>
          <w:iCs/>
          <w:spacing w:val="1"/>
          <w:lang w:val="es-ES" w:eastAsia="es-ES"/>
        </w:rPr>
        <w:tab/>
      </w:r>
    </w:p>
    <w:p w:rsidR="00B51A99" w:rsidRDefault="00B51A99">
      <w:pPr>
        <w:widowControl/>
        <w:rPr>
          <w:sz w:val="24"/>
          <w:szCs w:val="24"/>
        </w:rPr>
        <w:sectPr w:rsidR="00B51A99">
          <w:pgSz w:w="12312" w:h="15744"/>
          <w:pgMar w:top="1300" w:right="1675" w:bottom="508" w:left="1637" w:header="720" w:footer="720" w:gutter="0"/>
          <w:cols w:space="720"/>
          <w:noEndnote/>
        </w:sectPr>
      </w:pPr>
    </w:p>
    <w:p w:rsidR="00B51A99" w:rsidRDefault="00401F48">
      <w:pPr>
        <w:kinsoku w:val="0"/>
        <w:overflowPunct w:val="0"/>
        <w:autoSpaceDE/>
        <w:autoSpaceDN/>
        <w:adjustRightInd/>
        <w:spacing w:before="26" w:line="223" w:lineRule="exact"/>
        <w:ind w:left="432" w:right="432"/>
        <w:jc w:val="both"/>
        <w:textAlignment w:val="baseline"/>
        <w:rPr>
          <w:rFonts w:ascii="Verdana" w:hAnsi="Verdana" w:cs="Verdana"/>
          <w:spacing w:val="-1"/>
          <w:sz w:val="16"/>
          <w:szCs w:val="16"/>
          <w:lang w:val="es-ES" w:eastAsia="es-ES"/>
        </w:rPr>
      </w:pPr>
      <w:r>
        <w:rPr>
          <w:rFonts w:ascii="Verdana" w:hAnsi="Verdana" w:cs="Verdana"/>
          <w:spacing w:val="-1"/>
          <w:sz w:val="16"/>
          <w:szCs w:val="16"/>
          <w:lang w:val="es-ES" w:eastAsia="es-ES"/>
        </w:rPr>
        <w:lastRenderedPageBreak/>
        <w:t xml:space="preserve">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rFonts w:ascii="Verdana" w:hAnsi="Verdana" w:cs="Verdana"/>
          <w:spacing w:val="-1"/>
          <w:sz w:val="16"/>
          <w:szCs w:val="16"/>
          <w:lang w:val="es-ES" w:eastAsia="es-ES"/>
        </w:rPr>
        <w:t>causam</w:t>
      </w:r>
      <w:proofErr w:type="spellEnd"/>
      <w:r>
        <w:rPr>
          <w:rFonts w:ascii="Verdana" w:hAnsi="Verdana" w:cs="Verdana"/>
          <w:spacing w:val="-1"/>
          <w:sz w:val="16"/>
          <w:szCs w:val="16"/>
          <w:lang w:val="es-ES" w:eastAsia="es-E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quiénes deben actuar en el proceso."</w:t>
      </w:r>
    </w:p>
    <w:p w:rsidR="00B51A99" w:rsidRDefault="00401F48">
      <w:pPr>
        <w:kinsoku w:val="0"/>
        <w:overflowPunct w:val="0"/>
        <w:autoSpaceDE/>
        <w:autoSpaceDN/>
        <w:adjustRightInd/>
        <w:spacing w:before="310" w:line="30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Así las </w:t>
      </w:r>
      <w:proofErr w:type="gramStart"/>
      <w:r>
        <w:rPr>
          <w:rFonts w:ascii="Verdana" w:hAnsi="Verdana" w:cs="Verdana"/>
          <w:sz w:val="22"/>
          <w:szCs w:val="22"/>
          <w:lang w:val="es-ES" w:eastAsia="es-ES"/>
        </w:rPr>
        <w:t>cosas</w:t>
      </w:r>
      <w:proofErr w:type="gramEnd"/>
      <w:r>
        <w:rPr>
          <w:rFonts w:ascii="Verdana" w:hAnsi="Verdana" w:cs="Verdana"/>
          <w:sz w:val="22"/>
          <w:szCs w:val="22"/>
          <w:lang w:val="es-ES" w:eastAsia="es-ES"/>
        </w:rPr>
        <w:t xml:space="preserve"> debe rechazarse el Recurso de Apelación y la Nulidad presentadas por encontrarse extemporánea.</w:t>
      </w:r>
    </w:p>
    <w:p w:rsidR="00B51A99" w:rsidRDefault="00401F48">
      <w:pPr>
        <w:kinsoku w:val="0"/>
        <w:overflowPunct w:val="0"/>
        <w:autoSpaceDE/>
        <w:autoSpaceDN/>
        <w:adjustRightInd/>
        <w:spacing w:before="43" w:line="264" w:lineRule="exact"/>
        <w:ind w:left="72" w:righ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B51A99" w:rsidRDefault="00401F48">
      <w:pPr>
        <w:numPr>
          <w:ilvl w:val="0"/>
          <w:numId w:val="2"/>
        </w:numPr>
        <w:kinsoku w:val="0"/>
        <w:overflowPunct w:val="0"/>
        <w:autoSpaceDE/>
        <w:autoSpaceDN/>
        <w:adjustRightInd/>
        <w:spacing w:before="403" w:line="266"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 rechaza por extemporáneo el Recurso de Apelación en subsidio y Nulidad concomitante,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L.A.Q.S., cédula de identidad número</w:t>
      </w:r>
      <w:proofErr w:type="gramStart"/>
      <w:r>
        <w:rPr>
          <w:rFonts w:ascii="Verdana" w:hAnsi="Verdana" w:cs="Verdana"/>
          <w:b/>
          <w:bCs/>
          <w:sz w:val="22"/>
          <w:szCs w:val="22"/>
          <w:lang w:val="es-ES" w:eastAsia="es-ES"/>
        </w:rPr>
        <w:t xml:space="preserve"> ..</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Artículo 7.7 de la Sesión Ordinaria 51-2016 de 20 de octubre de 2016, </w:t>
      </w:r>
      <w:r>
        <w:rPr>
          <w:rFonts w:ascii="Verdana" w:hAnsi="Verdana" w:cs="Verdana"/>
          <w:sz w:val="22"/>
          <w:szCs w:val="22"/>
          <w:lang w:val="es-ES" w:eastAsia="es-ES"/>
        </w:rPr>
        <w:t>dictado por la Junta Directiva del Consejo de Transporte Público.</w:t>
      </w:r>
    </w:p>
    <w:p w:rsidR="00B51A99" w:rsidRPr="00401F48" w:rsidRDefault="00401F48" w:rsidP="00401F48">
      <w:pPr>
        <w:numPr>
          <w:ilvl w:val="0"/>
          <w:numId w:val="3"/>
        </w:numPr>
        <w:kinsoku w:val="0"/>
        <w:overflowPunct w:val="0"/>
        <w:autoSpaceDE/>
        <w:autoSpaceDN/>
        <w:adjustRightInd/>
        <w:spacing w:before="140" w:after="508" w:line="264" w:lineRule="exact"/>
        <w:ind w:right="72"/>
        <w:jc w:val="both"/>
        <w:textAlignment w:val="baseline"/>
        <w:rPr>
          <w:rFonts w:ascii="Garamond" w:hAnsi="Garamond" w:cs="Garamond"/>
          <w:sz w:val="23"/>
          <w:szCs w:val="23"/>
          <w:lang w:val="es-ES" w:eastAsia="es-ES"/>
        </w:rPr>
      </w:pPr>
      <w:r>
        <w:rPr>
          <w:rFonts w:ascii="Verdana" w:hAnsi="Verdana" w:cs="Verdana"/>
          <w:b/>
          <w:bCs/>
          <w:sz w:val="22"/>
          <w:szCs w:val="22"/>
          <w:lang w:val="es-ES" w:eastAsia="es-ES"/>
        </w:rPr>
        <w:t xml:space="preserve">De conformidad con el artículo 22, inciso c), de la citada Ley 7969, la presente resolución no tiene ulterior recurso por lo que, se </w:t>
      </w:r>
      <w:r>
        <w:rPr>
          <w:rFonts w:ascii="Verdana" w:hAnsi="Verdana" w:cs="Verdana"/>
          <w:b/>
          <w:bCs/>
          <w:i/>
          <w:iCs/>
          <w:sz w:val="22"/>
          <w:szCs w:val="22"/>
          <w:lang w:val="es-ES" w:eastAsia="es-ES"/>
        </w:rPr>
        <w:t xml:space="preserve">tiene por agotada la vía administrativa. </w:t>
      </w:r>
      <w:proofErr w:type="gramStart"/>
      <w:r>
        <w:rPr>
          <w:rFonts w:ascii="Verdana" w:hAnsi="Verdana" w:cs="Verdana"/>
          <w:b/>
          <w:bCs/>
          <w:sz w:val="22"/>
          <w:szCs w:val="22"/>
          <w:lang w:val="es-ES" w:eastAsia="es-ES"/>
        </w:rPr>
        <w:t>NOTIFIQUESE.</w:t>
      </w:r>
      <w:r>
        <w:rPr>
          <w:rFonts w:ascii="Verdana" w:hAnsi="Verdana" w:cs="Verdana"/>
          <w:b/>
          <w:bCs/>
          <w:sz w:val="22"/>
          <w:szCs w:val="22"/>
          <w:lang w:val="es-ES" w:eastAsia="es-ES"/>
        </w:rPr>
        <w:noBreakHyphen/>
      </w:r>
      <w:proofErr w:type="gramEnd"/>
    </w:p>
    <w:p w:rsidR="00401F48" w:rsidRPr="00401F48" w:rsidRDefault="00401F48" w:rsidP="00401F48">
      <w:pPr>
        <w:kinsoku w:val="0"/>
        <w:overflowPunct w:val="0"/>
        <w:autoSpaceDE/>
        <w:autoSpaceDN/>
        <w:adjustRightInd/>
        <w:spacing w:before="140" w:after="508" w:line="264" w:lineRule="exact"/>
        <w:ind w:left="72" w:right="72"/>
        <w:jc w:val="both"/>
        <w:textAlignment w:val="baseline"/>
        <w:rPr>
          <w:rFonts w:ascii="Garamond" w:hAnsi="Garamond" w:cs="Garamond"/>
          <w:sz w:val="23"/>
          <w:szCs w:val="23"/>
          <w:lang w:val="es-ES" w:eastAsia="es-ES"/>
        </w:rPr>
      </w:pPr>
    </w:p>
    <w:p w:rsidR="00401F48" w:rsidRPr="00DE692E" w:rsidRDefault="00401F48" w:rsidP="00401F48">
      <w:pPr>
        <w:kinsoku w:val="0"/>
        <w:overflowPunct w:val="0"/>
        <w:autoSpaceDE/>
        <w:autoSpaceDN/>
        <w:adjustRightInd/>
        <w:spacing w:after="374" w:line="320" w:lineRule="exact"/>
        <w:ind w:left="72"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401F48" w:rsidRDefault="00401F48" w:rsidP="00401F48">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401F48" w:rsidRDefault="00401F48" w:rsidP="00401F48">
      <w:pPr>
        <w:kinsoku w:val="0"/>
        <w:overflowPunct w:val="0"/>
        <w:autoSpaceDE/>
        <w:autoSpaceDN/>
        <w:adjustRightInd/>
        <w:spacing w:after="301" w:line="288" w:lineRule="exact"/>
        <w:ind w:left="72"/>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401F48" w:rsidRDefault="00401F48" w:rsidP="00401F48">
      <w:pPr>
        <w:kinsoku w:val="0"/>
        <w:overflowPunct w:val="0"/>
        <w:autoSpaceDE/>
        <w:autoSpaceDN/>
        <w:adjustRightInd/>
        <w:spacing w:before="140" w:after="508" w:line="264" w:lineRule="exact"/>
        <w:ind w:left="72" w:right="72"/>
        <w:jc w:val="both"/>
        <w:textAlignment w:val="baseline"/>
        <w:rPr>
          <w:rFonts w:ascii="Garamond" w:hAnsi="Garamond" w:cs="Garamond"/>
          <w:sz w:val="23"/>
          <w:szCs w:val="23"/>
          <w:lang w:val="es-ES" w:eastAsia="es-ES"/>
        </w:rPr>
      </w:pPr>
    </w:p>
    <w:sectPr w:rsidR="00401F48">
      <w:pgSz w:w="12302" w:h="15782"/>
      <w:pgMar w:top="1460" w:right="1562" w:bottom="326" w:left="17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3D54"/>
    <w:multiLevelType w:val="singleLevel"/>
    <w:tmpl w:val="79FE9F15"/>
    <w:lvl w:ilvl="0">
      <w:start w:val="1"/>
      <w:numFmt w:val="upperRoman"/>
      <w:lvlText w:val="%1.-"/>
      <w:lvlJc w:val="left"/>
      <w:pPr>
        <w:tabs>
          <w:tab w:val="num" w:pos="504"/>
        </w:tabs>
        <w:ind w:left="72"/>
      </w:pPr>
      <w:rPr>
        <w:rFonts w:ascii="Verdana" w:hAnsi="Verdana" w:cs="Verdana"/>
        <w:b/>
        <w:bCs/>
        <w:snapToGrid/>
        <w:sz w:val="22"/>
        <w:szCs w:val="22"/>
      </w:rPr>
    </w:lvl>
  </w:abstractNum>
  <w:abstractNum w:abstractNumId="1" w15:restartNumberingAfterBreak="0">
    <w:nsid w:val="016DAD90"/>
    <w:multiLevelType w:val="singleLevel"/>
    <w:tmpl w:val="6A8B3725"/>
    <w:lvl w:ilvl="0">
      <w:start w:val="1"/>
      <w:numFmt w:val="decimal"/>
      <w:lvlText w:val="%1.-"/>
      <w:lvlJc w:val="left"/>
      <w:pPr>
        <w:tabs>
          <w:tab w:val="num" w:pos="504"/>
        </w:tabs>
        <w:ind w:left="72"/>
      </w:pPr>
      <w:rPr>
        <w:rFonts w:ascii="Verdana" w:hAnsi="Verdana" w:cs="Verdana"/>
        <w:b/>
        <w:bCs/>
        <w:snapToGrid/>
        <w:sz w:val="22"/>
        <w:szCs w:val="22"/>
      </w:rPr>
    </w:lvl>
  </w:abstractNum>
  <w:num w:numId="1">
    <w:abstractNumId w:val="1"/>
  </w:num>
  <w:num w:numId="2">
    <w:abstractNumId w:val="0"/>
  </w:num>
  <w:num w:numId="3">
    <w:abstractNumId w:val="0"/>
    <w:lvlOverride w:ilvl="0">
      <w:lvl w:ilvl="0">
        <w:numFmt w:val="upperRoman"/>
        <w:lvlText w:val="%1.-"/>
        <w:lvlJc w:val="left"/>
        <w:pPr>
          <w:tabs>
            <w:tab w:val="num" w:pos="792"/>
          </w:tabs>
          <w:ind w:left="72"/>
        </w:pPr>
        <w:rPr>
          <w:rFonts w:ascii="Verdana" w:hAnsi="Verdana" w:cs="Verdana"/>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48"/>
    <w:rsid w:val="00401F48"/>
    <w:rsid w:val="00B51A99"/>
    <w:rsid w:val="00E873D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E6BD2C-6353-448F-9E3E-FC4F0A34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2019-04-25T16:57:00Z</dcterms:created>
  <dcterms:modified xsi:type="dcterms:W3CDTF">2019-04-25T16:57:00Z</dcterms:modified>
</cp:coreProperties>
</file>